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057F98"/>
          <w:spacing w:val="0"/>
          <w:sz w:val="33"/>
          <w:szCs w:val="33"/>
        </w:rPr>
      </w:pPr>
      <w:r>
        <w:rPr>
          <w:rFonts w:hint="eastAsia" w:ascii="微软雅黑" w:hAnsi="微软雅黑" w:eastAsia="微软雅黑" w:cs="微软雅黑"/>
          <w:b/>
          <w:bCs/>
          <w:i w:val="0"/>
          <w:iCs w:val="0"/>
          <w:caps w:val="0"/>
          <w:color w:val="057F98"/>
          <w:spacing w:val="0"/>
          <w:sz w:val="33"/>
          <w:szCs w:val="33"/>
          <w:bdr w:val="none" w:color="auto" w:sz="0" w:space="0"/>
          <w:shd w:val="clear" w:fill="FFFFFF"/>
        </w:rPr>
        <w:t>江苏省连云港中医药高等职业技术学校 关于进一步细化公平、公正、公开事项 报备、报结相关要求的通知</w:t>
      </w:r>
    </w:p>
    <w:p>
      <w:pPr>
        <w:pStyle w:val="7"/>
        <w:keepNext w:val="0"/>
        <w:keepLines w:val="0"/>
        <w:widowControl/>
        <w:suppressLineNumbers w:val="0"/>
        <w:pBdr>
          <w:top w:val="single" w:color="ECECEC" w:sz="6" w:space="7"/>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Arial" w:hAnsi="Arial" w:cs="Arial"/>
          <w:i w:val="0"/>
          <w:iCs w:val="0"/>
          <w:caps w:val="0"/>
          <w:color w:val="000000"/>
          <w:spacing w:val="0"/>
          <w:sz w:val="19"/>
          <w:szCs w:val="19"/>
        </w:rPr>
      </w:pPr>
      <w:r>
        <w:rPr>
          <w:rFonts w:hint="default" w:ascii="Arial" w:hAnsi="Arial" w:cs="Arial"/>
          <w:i w:val="0"/>
          <w:iCs w:val="0"/>
          <w:caps w:val="0"/>
          <w:color w:val="787878"/>
          <w:spacing w:val="0"/>
          <w:sz w:val="18"/>
          <w:szCs w:val="18"/>
          <w:shd w:val="clear" w:fill="FFFFFF"/>
        </w:rPr>
        <w:t>发布者：陶明康发布时间：2021-05-19浏览次数：23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79" w:lineRule="atLeast"/>
        <w:ind w:left="0" w:right="0"/>
        <w:jc w:val="center"/>
        <w:rPr>
          <w:color w:val="333333"/>
          <w:sz w:val="21"/>
          <w:szCs w:val="21"/>
        </w:rPr>
      </w:pPr>
      <w:r>
        <w:rPr>
          <w:rFonts w:ascii="方正小标宋_gbk" w:hAnsi="方正小标宋_gbk" w:eastAsia="方正小标宋_gbk" w:cs="方正小标宋_gbk"/>
          <w:i w:val="0"/>
          <w:iCs w:val="0"/>
          <w:caps w:val="0"/>
          <w:color w:val="333333"/>
          <w:spacing w:val="0"/>
          <w:sz w:val="43"/>
          <w:szCs w:val="43"/>
          <w:bdr w:val="none" w:color="auto" w:sz="0" w:space="0"/>
          <w:shd w:val="clear" w:fill="FFFFFF"/>
        </w:rPr>
        <w:t>江苏省连云港中医药高等职业技术学校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79" w:lineRule="atLeast"/>
        <w:ind w:left="0" w:right="0"/>
        <w:jc w:val="center"/>
        <w:rPr>
          <w:color w:val="333333"/>
          <w:sz w:val="21"/>
          <w:szCs w:val="21"/>
        </w:rPr>
      </w:pPr>
      <w:r>
        <w:rPr>
          <w:rFonts w:hint="default" w:ascii="方正小标宋_gbk" w:hAnsi="方正小标宋_gbk" w:eastAsia="方正小标宋_gbk" w:cs="方正小标宋_gbk"/>
          <w:i w:val="0"/>
          <w:iCs w:val="0"/>
          <w:caps w:val="0"/>
          <w:color w:val="333333"/>
          <w:spacing w:val="0"/>
          <w:sz w:val="43"/>
          <w:szCs w:val="43"/>
          <w:bdr w:val="none" w:color="auto" w:sz="0" w:space="0"/>
          <w:shd w:val="clear" w:fill="FFFFFF"/>
        </w:rPr>
        <w:t>关于进一步细化公平、公正、公开事项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79" w:lineRule="atLeast"/>
        <w:ind w:left="0" w:right="0"/>
        <w:jc w:val="center"/>
        <w:rPr>
          <w:color w:val="333333"/>
          <w:sz w:val="21"/>
          <w:szCs w:val="21"/>
        </w:rPr>
      </w:pPr>
      <w:r>
        <w:rPr>
          <w:rFonts w:hint="default" w:ascii="方正小标宋_gbk" w:hAnsi="方正小标宋_gbk" w:eastAsia="方正小标宋_gbk" w:cs="方正小标宋_gbk"/>
          <w:i w:val="0"/>
          <w:iCs w:val="0"/>
          <w:caps w:val="0"/>
          <w:color w:val="333333"/>
          <w:spacing w:val="0"/>
          <w:sz w:val="43"/>
          <w:szCs w:val="43"/>
          <w:bdr w:val="none" w:color="auto" w:sz="0" w:space="0"/>
          <w:shd w:val="clear" w:fill="FFFFFF"/>
        </w:rPr>
        <w:t>报备</w:t>
      </w:r>
      <w:r>
        <w:rPr>
          <w:rFonts w:hint="default" w:ascii="Arial" w:hAnsi="Arial" w:cs="Arial"/>
          <w:i w:val="0"/>
          <w:iCs w:val="0"/>
          <w:caps w:val="0"/>
          <w:color w:val="333333"/>
          <w:spacing w:val="0"/>
          <w:sz w:val="21"/>
          <w:szCs w:val="21"/>
          <w:bdr w:val="none" w:color="auto" w:sz="0" w:space="0"/>
          <w:shd w:val="clear" w:fill="FFFFFF"/>
        </w:rPr>
        <w:t>、</w:t>
      </w:r>
      <w:r>
        <w:rPr>
          <w:rFonts w:hint="default" w:ascii="方正小标宋_gbk" w:hAnsi="方正小标宋_gbk" w:eastAsia="方正小标宋_gbk" w:cs="方正小标宋_gbk"/>
          <w:i w:val="0"/>
          <w:iCs w:val="0"/>
          <w:caps w:val="0"/>
          <w:color w:val="333333"/>
          <w:spacing w:val="0"/>
          <w:sz w:val="43"/>
          <w:szCs w:val="43"/>
          <w:bdr w:val="none" w:color="auto" w:sz="0" w:space="0"/>
          <w:shd w:val="clear" w:fill="FFFFFF"/>
        </w:rPr>
        <w:t>报结相关要求的通知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79" w:lineRule="atLeast"/>
        <w:ind w:left="0" w:right="0"/>
        <w:jc w:val="center"/>
        <w:rPr>
          <w:color w:val="333333"/>
          <w:sz w:val="21"/>
          <w:szCs w:val="21"/>
        </w:rPr>
      </w:pPr>
      <w:r>
        <w:rPr>
          <w:rFonts w:ascii="方正仿宋_GBK" w:hAnsi="方正仿宋_GBK" w:eastAsia="方正仿宋_GBK" w:cs="方正仿宋_GBK"/>
          <w:i w:val="0"/>
          <w:iCs w:val="0"/>
          <w:caps w:val="0"/>
          <w:color w:val="333333"/>
          <w:spacing w:val="0"/>
          <w:sz w:val="31"/>
          <w:szCs w:val="31"/>
          <w:bdr w:val="none" w:color="auto" w:sz="0" w:space="0"/>
          <w:shd w:val="clear" w:fill="FFFFFF"/>
        </w:rPr>
        <w:t>（连中医药高职校纪〔</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2021〕1号）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4" w:beforeAutospacing="0" w:after="102" w:afterAutospacing="0" w:line="363"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为进一步加强对权力运行的制约和监督，增强对公平、公正、公开事项（以下简称三公事项）监督检查工作的针对性和有效性，促进报备、报结工作有序进行，推进学校党风廉政建设工作取得实效。根据《连云港市属高校“公平、公开、公正”工作事项报备报结监督办法》（连纪派十二组发〔2020〕1号）、《关于进一步加强市属高校“公开、公平、公正”工作事项报备报结工作的通知》（连纪派十二组发〔2021〕1 号）等文件精神，结合学校实际，对三公事项报备、报结工作的程序进一步细化，报备、报结范围及内容进一步明确，以作为学校各部门报备、报结处理依据。现就有关事项通知如下：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Style w:val="10"/>
          <w:rFonts w:hint="eastAsia" w:ascii="方正仿宋_GBK" w:hAnsi="方正仿宋_GBK" w:eastAsia="方正仿宋_GBK" w:cs="方正仿宋_GBK"/>
          <w:b/>
          <w:bCs/>
          <w:i w:val="0"/>
          <w:iCs w:val="0"/>
          <w:caps w:val="0"/>
          <w:color w:val="333333"/>
          <w:spacing w:val="0"/>
          <w:sz w:val="31"/>
          <w:szCs w:val="31"/>
          <w:bdr w:val="none" w:color="auto" w:sz="0" w:space="0"/>
          <w:shd w:val="clear" w:fill="FFFFFF"/>
        </w:rPr>
        <w:t>一、报备、报结范围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根据连纪派十二组发〔2021〕1号文件规定，以下标“★”项目，实施部门除向校纪委报备外，同时须向市纪委监委派驻第十二纪检监察组（以下简称十二组）报备报结。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ascii="黑体" w:hAnsi="宋体" w:eastAsia="黑体" w:cs="黑体"/>
          <w:i w:val="0"/>
          <w:iCs w:val="0"/>
          <w:caps w:val="0"/>
          <w:color w:val="333333"/>
          <w:spacing w:val="0"/>
          <w:sz w:val="31"/>
          <w:szCs w:val="31"/>
          <w:bdr w:val="none" w:color="auto" w:sz="0" w:space="0"/>
          <w:shd w:val="clear" w:fill="FFFFFF"/>
        </w:rPr>
        <w:t>（一）校企合作事项★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校企合作开班、办学、经营、BOT项目等均纳入报备、报结范围。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（二）人员竞聘、招考招聘类★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1.学校教职工岗位竞聘或调整；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2.中层干部选拔竞聘；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3.新进教职工引进（含招考招聘、高层次人才引进、调入）；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黑体" w:hAnsi="宋体" w:eastAsia="黑体" w:cs="黑体"/>
          <w:i w:val="0"/>
          <w:iCs w:val="0"/>
          <w:caps w:val="0"/>
          <w:color w:val="333333"/>
          <w:spacing w:val="0"/>
          <w:sz w:val="31"/>
          <w:szCs w:val="31"/>
          <w:bdr w:val="none" w:color="auto" w:sz="0" w:space="0"/>
          <w:shd w:val="clear" w:fill="FFFFFF"/>
        </w:rPr>
        <w:t>（三）商品、服务、工程等项目采购类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1.一个年度内非网上商城自行采购相同类别商品、服务、工程等项目金额在1万元以上的，低于此级别的无需专门报备；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一个年度内在政府采购目录内或网上商城自行采购相同类别商品、服务、工程等项目在2万元以上的均纳入报备、报结范围，低于此级别的无需专门报备。（此级别随着学校招标采购相关管理文件确定的招标采购额度要求改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3.采用自行采购程序、采购预算大于（含）20 万元的及采用政府</w:t>
      </w:r>
      <w:r>
        <w:rPr>
          <w:rFonts w:hint="eastAsia" w:ascii="方正仿宋_GBK" w:hAnsi="方正仿宋_GBK" w:eastAsia="方正仿宋_GBK" w:cs="方正仿宋_GBK"/>
          <w:i w:val="0"/>
          <w:iCs w:val="0"/>
          <w:caps w:val="0"/>
          <w:color w:val="FF0000"/>
          <w:spacing w:val="0"/>
          <w:sz w:val="31"/>
          <w:szCs w:val="31"/>
          <w:bdr w:val="none" w:color="auto" w:sz="0" w:space="0"/>
          <w:shd w:val="clear" w:fill="FFFFFF"/>
        </w:rPr>
        <w:t>集中</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采购程序、采购预算大于（含）200 万元的商品、服务、工程等采购项目。★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黑体" w:hAnsi="宋体" w:eastAsia="黑体" w:cs="黑体"/>
          <w:i w:val="0"/>
          <w:iCs w:val="0"/>
          <w:caps w:val="0"/>
          <w:color w:val="333333"/>
          <w:spacing w:val="0"/>
          <w:sz w:val="31"/>
          <w:szCs w:val="31"/>
          <w:bdr w:val="none" w:color="auto" w:sz="0" w:space="0"/>
          <w:shd w:val="clear" w:fill="FFFFFF"/>
        </w:rPr>
        <w:t>（四）职称评聘、评优评先、绩效考核类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1.校级各类专业技术资格、工勤技能等级候选人的选拔推荐；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2.厅（省★）级业务主管部门及以上评先、评优、高层次人才选拔均纳入报备、报结范围，低于此级别的无需专门报备。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3.绩效考核方案的制定、修订纳入报备、报结范围，基础性绩效工资、按照月度考核发放或部门绩效总量内绩效工资的预发无需专门报备。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黑体" w:hAnsi="宋体" w:eastAsia="黑体" w:cs="黑体"/>
          <w:i w:val="0"/>
          <w:iCs w:val="0"/>
          <w:caps w:val="0"/>
          <w:color w:val="333333"/>
          <w:spacing w:val="0"/>
          <w:sz w:val="31"/>
          <w:szCs w:val="31"/>
          <w:bdr w:val="none" w:color="auto" w:sz="0" w:space="0"/>
          <w:shd w:val="clear" w:fill="FFFFFF"/>
        </w:rPr>
        <w:t>（五）各类奖、补资金评审发放类★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学期或年度绩效考核奖发放、大赛奖励评审发放等非逐月发放的奖励性绩效工资、奖励性绩效工资之外的所有奖、补资金的核发均纳入报备报结范围。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黑体" w:hAnsi="宋体" w:eastAsia="黑体" w:cs="黑体"/>
          <w:i w:val="0"/>
          <w:iCs w:val="0"/>
          <w:caps w:val="0"/>
          <w:color w:val="333333"/>
          <w:spacing w:val="0"/>
          <w:sz w:val="31"/>
          <w:szCs w:val="31"/>
          <w:bdr w:val="none" w:color="auto" w:sz="0" w:space="0"/>
          <w:shd w:val="clear" w:fill="FFFFFF"/>
        </w:rPr>
        <w:t>（六）各类涉及学生的费用收取类★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按照物价部门批准的学费、住宿费、实验实训费的收取无需专门报备，其他直接收取或代替收取学生费用、结算工作的均纳入报备、报结范围。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黑体" w:hAnsi="宋体" w:eastAsia="黑体" w:cs="黑体"/>
          <w:i w:val="0"/>
          <w:iCs w:val="0"/>
          <w:caps w:val="0"/>
          <w:color w:val="333333"/>
          <w:spacing w:val="0"/>
          <w:sz w:val="31"/>
          <w:szCs w:val="31"/>
          <w:bdr w:val="none" w:color="auto" w:sz="0" w:space="0"/>
          <w:shd w:val="clear" w:fill="FFFFFF"/>
        </w:rPr>
        <w:t>（七）资产出租出借类★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校内门面房、教室、办公场所、实验实训室、食堂、土地等固定资产出租出借均纳入报备报结范围。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黑体" w:hAnsi="宋体" w:eastAsia="黑体" w:cs="黑体"/>
          <w:i w:val="0"/>
          <w:iCs w:val="0"/>
          <w:caps w:val="0"/>
          <w:color w:val="333333"/>
          <w:spacing w:val="0"/>
          <w:sz w:val="31"/>
          <w:szCs w:val="31"/>
          <w:bdr w:val="none" w:color="auto" w:sz="0" w:space="0"/>
          <w:shd w:val="clear" w:fill="FFFFFF"/>
        </w:rPr>
        <w:t>（八）其他事项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1.各部门认为矛盾集中、社会关切度高、廉洁风险高的其他需要遵循公开、公平、公正要求的工作事项。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2.按照学校规定需在校级会议研究确定是否执行或如何执行的三公事项。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Style w:val="10"/>
          <w:rFonts w:hint="eastAsia" w:ascii="方正仿宋_GBK" w:hAnsi="方正仿宋_GBK" w:eastAsia="方正仿宋_GBK" w:cs="方正仿宋_GBK"/>
          <w:b/>
          <w:bCs/>
          <w:i w:val="0"/>
          <w:iCs w:val="0"/>
          <w:caps w:val="0"/>
          <w:color w:val="333333"/>
          <w:spacing w:val="0"/>
          <w:sz w:val="31"/>
          <w:szCs w:val="31"/>
          <w:bdr w:val="none" w:color="auto" w:sz="0" w:space="0"/>
          <w:shd w:val="clear" w:fill="FFFFFF"/>
        </w:rPr>
        <w:t>二、报备、报结时限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641"/>
        <w:jc w:val="left"/>
        <w:rPr>
          <w:color w:val="333333"/>
          <w:sz w:val="21"/>
          <w:szCs w:val="21"/>
        </w:rPr>
      </w:pPr>
      <w:bookmarkStart w:id="0" w:name="_GoBack"/>
      <w:bookmarkEnd w:id="0"/>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1.报备工作。“三公”事项的报备工作一般在该事项最高级别的决策会议召开2个工作日之前申请，</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其中工程、物品、服务的采购项目报备工作需在采购文件定稿之后、正式对外发布之前报备。报备工作需要使用评委的，实施部门应在事项开展2个工作日之前根据报备级别向校纪委或十二组申请，涉及保密工作必须在相关工作开展前临时抽取评委的，应在事项开展2个工作日之前预约，由校纪委或十二组从相关类别的专家库中随机抽取，该类别备选专家库成员总数应不少于实际需要使用评委数的三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十二组抽取评委基本操作规程：三公事项实施部门在具体评审环节开展两个工作日前，向十二组提供经办人签字、加盖实施部门公章的评委库成员名单纸质稿（需注明本次评审工作需要随机抽取评委的人数）和excel 格式电子稿，十二组通过软件随机方式抽取特定数量的评委名单（评委库其他评委排定备选顺序）提供给实施部门。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特殊操作规程：特殊情况下，经三公事项实施部门和十二组沟通后，可将相关资料通过网络方式发至十二组，十二组将抽取结果通过网络方式回传，三公事项实施部门在报结前补充提供相应纸质材料。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报结工作。报结工作一般在该事项完成5个工作日之内申请，其中校企合作事项以签署合同为时间节点；人员竞聘、招考招聘类、职称评聘、评优评先、绩效考核类以公示结束为时间节点；商品、工程等项目采购类以验收结束为时间节点；服务项目采购类以</w:t>
      </w:r>
      <w:r>
        <w:rPr>
          <w:rFonts w:hint="eastAsia" w:ascii="方正仿宋_GBK" w:hAnsi="方正仿宋_GBK" w:eastAsia="方正仿宋_GBK" w:cs="方正仿宋_GBK"/>
          <w:i w:val="0"/>
          <w:iCs w:val="0"/>
          <w:caps w:val="0"/>
          <w:color w:val="000000"/>
          <w:spacing w:val="0"/>
          <w:sz w:val="31"/>
          <w:szCs w:val="31"/>
          <w:bdr w:val="none" w:color="auto" w:sz="0" w:space="0"/>
          <w:shd w:val="clear" w:fill="FFFFFF"/>
        </w:rPr>
        <w:t>合同签</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订为时间节点；各类奖、补资金评审发放类以发放到位为时间节点；各类涉及学生的费用收取类应在该收费项目结算时间为节点。对于报备后一年内不能完成的，需在6个月之后、一个自然年度结束之前增加报结一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0" w:right="0" w:firstLine="641"/>
        <w:jc w:val="left"/>
        <w:rPr>
          <w:color w:val="333333"/>
          <w:sz w:val="21"/>
          <w:szCs w:val="21"/>
        </w:rPr>
      </w:pPr>
      <w:r>
        <w:rPr>
          <w:rStyle w:val="10"/>
          <w:rFonts w:hint="eastAsia" w:ascii="方正仿宋_GBK" w:hAnsi="方正仿宋_GBK" w:eastAsia="方正仿宋_GBK" w:cs="方正仿宋_GBK"/>
          <w:b/>
          <w:bCs/>
          <w:i w:val="0"/>
          <w:iCs w:val="0"/>
          <w:caps w:val="0"/>
          <w:color w:val="333333"/>
          <w:spacing w:val="0"/>
          <w:sz w:val="31"/>
          <w:szCs w:val="31"/>
          <w:bdr w:val="none" w:color="auto" w:sz="0" w:space="0"/>
          <w:shd w:val="clear" w:fill="FFFFFF"/>
        </w:rPr>
        <w:t>三、报备、报结表的填写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firstLine="641"/>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报备、报结表填写务必实事求是，并尽力做到细致无误，部门盖章、负责人及联系人签字、填表日期等均应完善，核心数据应报尽报。附件材料为上级文件或在网络空间开放的仅需提供电子版即可，其他材料需提供纸质材料并加盖部门公章。具体举例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1590" w:right="0" w:hanging="959"/>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附件：1.江苏省连云港中医药高等职业技术学校“三公”事项报备表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39" w:lineRule="atLeast"/>
        <w:ind w:left="1634" w:right="0" w:hanging="159"/>
        <w:jc w:val="left"/>
        <w:rPr>
          <w:color w:val="333333"/>
          <w:sz w:val="21"/>
          <w:szCs w:val="21"/>
        </w:rPr>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2.江苏省连云港中医药高等职业技术学校“三公”事项报结表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jc w:val="left"/>
        <w:rPr>
          <w:color w:val="333333"/>
          <w:sz w:val="21"/>
          <w:szCs w:val="2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22" w:lineRule="atLeast"/>
        <w:ind w:left="0" w:right="0"/>
        <w:jc w:val="center"/>
        <w:rPr>
          <w:color w:val="333333"/>
          <w:sz w:val="21"/>
          <w:szCs w:val="21"/>
        </w:rPr>
      </w:pPr>
      <w:r>
        <w:rPr>
          <w:rFonts w:ascii="仿宋_gb2312" w:hAnsi="仿宋_gb2312" w:eastAsia="仿宋_gb2312" w:cs="仿宋_gb2312"/>
          <w:i w:val="0"/>
          <w:iCs w:val="0"/>
          <w:caps w:val="0"/>
          <w:color w:val="333333"/>
          <w:spacing w:val="0"/>
          <w:sz w:val="31"/>
          <w:szCs w:val="31"/>
          <w:bdr w:val="none" w:color="auto" w:sz="0" w:space="0"/>
          <w:shd w:val="clear" w:fill="FFFFFF"/>
        </w:rPr>
        <w:t>中共江苏省连云港中医药高等职业技术学校纪律检查委员会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210"/>
        <w:jc w:val="center"/>
        <w:rPr>
          <w:color w:val="333333"/>
          <w:sz w:val="21"/>
          <w:szCs w:val="21"/>
        </w:rPr>
      </w:pPr>
      <w:r>
        <w:rPr>
          <w:rFonts w:hint="default" w:ascii="Arial" w:hAnsi="Arial" w:cs="Arial"/>
          <w:i w:val="0"/>
          <w:iCs w:val="0"/>
          <w:caps w:val="0"/>
          <w:color w:val="333333"/>
          <w:spacing w:val="0"/>
          <w:sz w:val="21"/>
          <w:szCs w:val="21"/>
          <w:bdr w:val="none" w:color="auto" w:sz="0" w:space="0"/>
          <w:shd w:val="clear" w:fill="FFFFFF"/>
        </w:rPr>
        <w:t> </w:t>
      </w:r>
      <w:r>
        <w:rPr>
          <w:rFonts w:hint="default" w:ascii="Arial" w:hAnsi="Arial" w:cs="Arial"/>
          <w:i w:val="0"/>
          <w:iCs w:val="0"/>
          <w:caps w:val="0"/>
          <w:color w:val="333333"/>
          <w:spacing w:val="0"/>
          <w:sz w:val="31"/>
          <w:szCs w:val="31"/>
          <w:bdr w:val="none" w:color="auto" w:sz="0" w:space="0"/>
          <w:shd w:val="clear" w:fill="FFFFFF"/>
        </w:rPr>
        <w:t>2021年5月19日</w:t>
      </w:r>
    </w:p>
    <w:p>
      <w:pPr>
        <w:tabs>
          <w:tab w:val="left" w:pos="3634"/>
        </w:tabs>
        <w:spacing w:line="560" w:lineRule="exact"/>
        <w:ind w:firstLine="105" w:firstLineChars="50"/>
      </w:pPr>
      <w:bookmarkStart w:id="1" w:name="_GoBack"/>
      <w:bookmarkEnd w:id="1"/>
    </w:p>
    <w:sectPr>
      <w:pgSz w:w="11906" w:h="16838"/>
      <w:pgMar w:top="1440" w:right="124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_gbk">
    <w:altName w:val="宋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5OWE4NDgwMTRmNDVlZDgwZjI2ZTIwNTk5NGUxMzkifQ=="/>
  </w:docVars>
  <w:rsids>
    <w:rsidRoot w:val="00CB3DAD"/>
    <w:rsid w:val="00046AAD"/>
    <w:rsid w:val="000554CB"/>
    <w:rsid w:val="000633B7"/>
    <w:rsid w:val="00065E5A"/>
    <w:rsid w:val="00074734"/>
    <w:rsid w:val="000856FC"/>
    <w:rsid w:val="000A31A7"/>
    <w:rsid w:val="000B773A"/>
    <w:rsid w:val="000C5BA5"/>
    <w:rsid w:val="000E2A3B"/>
    <w:rsid w:val="000F4734"/>
    <w:rsid w:val="00100D56"/>
    <w:rsid w:val="0011293E"/>
    <w:rsid w:val="00117A81"/>
    <w:rsid w:val="001213D9"/>
    <w:rsid w:val="00137E02"/>
    <w:rsid w:val="00156EA6"/>
    <w:rsid w:val="00197E9A"/>
    <w:rsid w:val="001A52AD"/>
    <w:rsid w:val="00232160"/>
    <w:rsid w:val="0025461B"/>
    <w:rsid w:val="002679D6"/>
    <w:rsid w:val="002C56B4"/>
    <w:rsid w:val="002E0D1D"/>
    <w:rsid w:val="00310E63"/>
    <w:rsid w:val="00322CC7"/>
    <w:rsid w:val="00335868"/>
    <w:rsid w:val="003963B1"/>
    <w:rsid w:val="003B5C96"/>
    <w:rsid w:val="004078D4"/>
    <w:rsid w:val="004A68D7"/>
    <w:rsid w:val="004B3DCF"/>
    <w:rsid w:val="004B424B"/>
    <w:rsid w:val="004C58F3"/>
    <w:rsid w:val="00523D3B"/>
    <w:rsid w:val="005739D7"/>
    <w:rsid w:val="005C76E2"/>
    <w:rsid w:val="005D621E"/>
    <w:rsid w:val="0061110E"/>
    <w:rsid w:val="00642656"/>
    <w:rsid w:val="00655904"/>
    <w:rsid w:val="006814AE"/>
    <w:rsid w:val="006904A6"/>
    <w:rsid w:val="006A58DE"/>
    <w:rsid w:val="006E07FA"/>
    <w:rsid w:val="006F6508"/>
    <w:rsid w:val="007123A5"/>
    <w:rsid w:val="007409F3"/>
    <w:rsid w:val="007B4729"/>
    <w:rsid w:val="008336EC"/>
    <w:rsid w:val="00894844"/>
    <w:rsid w:val="008B116C"/>
    <w:rsid w:val="008E34C0"/>
    <w:rsid w:val="009156F5"/>
    <w:rsid w:val="009357BB"/>
    <w:rsid w:val="00943201"/>
    <w:rsid w:val="00946A24"/>
    <w:rsid w:val="009C3F15"/>
    <w:rsid w:val="00A04BA8"/>
    <w:rsid w:val="00A06BA2"/>
    <w:rsid w:val="00A56FEF"/>
    <w:rsid w:val="00A8075B"/>
    <w:rsid w:val="00A84733"/>
    <w:rsid w:val="00AA0EF4"/>
    <w:rsid w:val="00AC2085"/>
    <w:rsid w:val="00AC7F76"/>
    <w:rsid w:val="00AE75EA"/>
    <w:rsid w:val="00B308F8"/>
    <w:rsid w:val="00B6308B"/>
    <w:rsid w:val="00B97A52"/>
    <w:rsid w:val="00BD07F5"/>
    <w:rsid w:val="00BE3AEF"/>
    <w:rsid w:val="00BF1D3C"/>
    <w:rsid w:val="00C1590D"/>
    <w:rsid w:val="00C67B8F"/>
    <w:rsid w:val="00C753FD"/>
    <w:rsid w:val="00CB3DAD"/>
    <w:rsid w:val="00CF535E"/>
    <w:rsid w:val="00D15CD2"/>
    <w:rsid w:val="00D6144A"/>
    <w:rsid w:val="00D75D5E"/>
    <w:rsid w:val="00D846C6"/>
    <w:rsid w:val="00D95958"/>
    <w:rsid w:val="00DB5842"/>
    <w:rsid w:val="00DB789F"/>
    <w:rsid w:val="00E006F0"/>
    <w:rsid w:val="00E13DB2"/>
    <w:rsid w:val="00E35144"/>
    <w:rsid w:val="00E57958"/>
    <w:rsid w:val="00E62DBA"/>
    <w:rsid w:val="00E64455"/>
    <w:rsid w:val="00E70C09"/>
    <w:rsid w:val="00EA0D0B"/>
    <w:rsid w:val="00EC0F70"/>
    <w:rsid w:val="00EE6C39"/>
    <w:rsid w:val="00EF195D"/>
    <w:rsid w:val="00EF5AF4"/>
    <w:rsid w:val="00F364EB"/>
    <w:rsid w:val="00F93A9B"/>
    <w:rsid w:val="00F97FBE"/>
    <w:rsid w:val="00FC7DB1"/>
    <w:rsid w:val="00FE0CF3"/>
    <w:rsid w:val="00FF2257"/>
    <w:rsid w:val="7B0B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paragraph" w:customStyle="1" w:styleId="13">
    <w:name w:val="Defaul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14">
    <w:name w:val="批注框文本 字符"/>
    <w:basedOn w:val="9"/>
    <w:link w:val="4"/>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192</Words>
  <Characters>1097</Characters>
  <Lines>9</Lines>
  <Paragraphs>2</Paragraphs>
  <TotalTime>5</TotalTime>
  <ScaleCrop>false</ScaleCrop>
  <LinksUpToDate>false</LinksUpToDate>
  <CharactersWithSpaces>1287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2021-05-19T08:59:00Z</dcterms:created>
  <dc:creator>XX</dc:creator>
  <cp:lastModifiedBy>多啦A梦</cp:lastModifiedBy>
  <cp:lastPrinted>2021-05-19T08:46:00Z</cp:lastPrinted>
  <dcterms:modified xsi:type="dcterms:W3CDTF">2023-09-20T01:48:54Z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4E851F68B13C413A82F4F05A3F985AE2_12</vt:lpwstr>
  </property>
</Properties>
</file>